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ageBreakBefore w:val="0"/>
        <w:ind w:left="0" w:firstLine="0"/>
        <w:jc w:val="center"/>
        <w:rPr>
          <w:rFonts w:ascii="Amaranth" w:cs="Amaranth" w:eastAsia="Amaranth" w:hAnsi="Amaranth"/>
          <w:b w:val="1"/>
          <w:bCs w:val="1"/>
          <w:sz w:val="28"/>
          <w:szCs w:val="28"/>
        </w:rPr>
      </w:pPr>
      <w:r w:rsidDel="00000000" w:rsidR="00000000" w:rsidRPr="00000000">
        <w:rPr>
          <w:rFonts w:ascii="Amaranth" w:cs="Amaranth" w:eastAsia="Amaranth" w:hAnsi="Amaranth"/>
          <w:b w:val="1"/>
          <w:bCs w:val="1"/>
          <w:sz w:val="28"/>
          <w:szCs w:val="28"/>
          <w:rtl w:val="0"/>
        </w:rPr>
        <w:t xml:space="preserve">Corpus Christi Catholic Primary School </w:t>
      </w:r>
    </w:p>
    <w:p w:rsidR="00000000" w:rsidDel="00000000" w:rsidP="00000000" w:rsidRDefault="00000000" w:rsidRPr="00000000" w14:paraId="00000002">
      <w:pPr>
        <w:pageBreakBefore w:val="0"/>
        <w:ind w:left="0" w:firstLine="0"/>
        <w:jc w:val="center"/>
        <w:rPr>
          <w:rFonts w:ascii="Amaranth" w:cs="Amaranth" w:eastAsia="Amaranth" w:hAnsi="Amaranth"/>
          <w:sz w:val="28"/>
          <w:szCs w:val="28"/>
        </w:rPr>
      </w:pPr>
      <w:r w:rsidDel="00000000" w:rsidR="00000000" w:rsidRPr="00000000">
        <w:rPr>
          <w:rFonts w:ascii="Amaranth" w:cs="Amaranth" w:eastAsia="Amaranth" w:hAnsi="Amaranth"/>
          <w:b w:val="1"/>
          <w:bCs w:val="1"/>
          <w:sz w:val="40"/>
          <w:szCs w:val="40"/>
          <w:u w:val="single"/>
          <w:rtl w:val="0"/>
        </w:rPr>
        <w:t xml:space="preserve">Year 3</w:t>
      </w:r>
      <w:r w:rsidDel="00000000" w:rsidR="00000000" w:rsidRPr="00000000">
        <w:rPr>
          <w:rFonts w:ascii="Amaranth" w:cs="Amaranth" w:eastAsia="Amaranth" w:hAnsi="Amaranth"/>
          <w:b w:val="1"/>
          <w:bCs w:val="1"/>
          <w:sz w:val="40"/>
          <w:szCs w:val="40"/>
          <w:u w:val="single"/>
          <w:rtl w:val="0"/>
        </w:rPr>
        <w:t xml:space="preserve"> </w:t>
      </w:r>
      <w:r w:rsidDel="00000000" w:rsidR="00000000" w:rsidRPr="00000000">
        <w:rPr>
          <w:rFonts w:ascii="Amaranth" w:cs="Amaranth" w:eastAsia="Amaranth" w:hAnsi="Amaranth"/>
          <w:b w:val="1"/>
          <w:bCs w:val="1"/>
          <w:sz w:val="40"/>
          <w:szCs w:val="40"/>
          <w:u w:val="single"/>
          <w:rtl w:val="0"/>
        </w:rPr>
        <w:t xml:space="preserve">Curriculum Overview Summer Term 1 2026</w:t>
      </w:r>
      <w:r w:rsidDel="00000000" w:rsidR="00000000" w:rsidRPr="00000000">
        <w:rPr>
          <w:rtl w:val="0"/>
        </w:rPr>
      </w:r>
    </w:p>
    <w:p w:rsidR="00000000" w:rsidDel="00000000" w:rsidP="00000000" w:rsidRDefault="00000000" w:rsidRPr="00000000" w14:paraId="00000003">
      <w:pPr>
        <w:pageBreakBefore w:val="0"/>
        <w:ind w:left="0" w:firstLine="0"/>
        <w:jc w:val="center"/>
        <w:rPr>
          <w:rFonts w:ascii="Amaranth" w:cs="Amaranth" w:eastAsia="Amaranth" w:hAnsi="Amaranth"/>
          <w:sz w:val="28"/>
          <w:szCs w:val="28"/>
        </w:rPr>
      </w:pPr>
      <w:r w:rsidDel="00000000" w:rsidR="00000000" w:rsidRPr="00000000">
        <w:rPr>
          <w:rtl w:val="0"/>
        </w:rPr>
      </w:r>
    </w:p>
    <w:tbl>
      <w:tblPr>
        <w:tblStyle w:val="Table1"/>
        <w:tblW w:w="1395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325"/>
        <w:gridCol w:w="2595"/>
        <w:gridCol w:w="2055"/>
        <w:gridCol w:w="2325"/>
        <w:gridCol w:w="2145"/>
        <w:gridCol w:w="2505"/>
        <w:tblGridChange w:id="0">
          <w:tblGrid>
            <w:gridCol w:w="2325"/>
            <w:gridCol w:w="2595"/>
            <w:gridCol w:w="2055"/>
            <w:gridCol w:w="2325"/>
            <w:gridCol w:w="2145"/>
            <w:gridCol w:w="2505"/>
          </w:tblGrid>
        </w:tblGridChange>
      </w:tblGrid>
      <w:tr>
        <w:trPr>
          <w:cantSplit w:val="0"/>
          <w:trHeight w:val="885" w:hRule="atLeast"/>
          <w:tblHeader w:val="0"/>
        </w:trPr>
        <w:tc>
          <w:tcPr>
            <w:gridSpan w:val="6"/>
            <w:shd w:fill="990000" w:val="clear"/>
            <w:tcMar>
              <w:top w:w="100.0" w:type="dxa"/>
              <w:left w:w="100.0" w:type="dxa"/>
              <w:bottom w:w="100.0" w:type="dxa"/>
              <w:right w:w="100.0" w:type="dxa"/>
            </w:tcMar>
            <w:vAlign w:val="top"/>
          </w:tcPr>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maranth" w:cs="Amaranth" w:eastAsia="Amaranth" w:hAnsi="Amaranth"/>
                <w:color w:val="ffffff"/>
                <w:sz w:val="28"/>
                <w:szCs w:val="28"/>
              </w:rPr>
            </w:pPr>
            <w:r w:rsidDel="00000000" w:rsidR="00000000" w:rsidRPr="00000000">
              <w:rPr>
                <w:rFonts w:ascii="Amaranth" w:cs="Amaranth" w:eastAsia="Amaranth" w:hAnsi="Amaranth"/>
                <w:b w:val="1"/>
                <w:bCs w:val="1"/>
                <w:color w:val="ffffff"/>
                <w:sz w:val="28"/>
                <w:szCs w:val="28"/>
                <w:rtl w:val="0"/>
              </w:rPr>
              <w:t xml:space="preserve">This half term, our </w:t>
            </w:r>
            <w:r w:rsidDel="00000000" w:rsidR="00000000" w:rsidRPr="00000000">
              <w:rPr>
                <w:rFonts w:ascii="Amaranth" w:cs="Amaranth" w:eastAsia="Amaranth" w:hAnsi="Amaranth"/>
                <w:b w:val="1"/>
                <w:bCs w:val="1"/>
                <w:color w:val="ffffff"/>
                <w:sz w:val="28"/>
                <w:szCs w:val="28"/>
                <w:u w:val="single"/>
                <w:rtl w:val="0"/>
              </w:rPr>
              <w:t xml:space="preserve">Curriculum Enquiry Question</w:t>
            </w:r>
            <w:r w:rsidDel="00000000" w:rsidR="00000000" w:rsidRPr="00000000">
              <w:rPr>
                <w:rFonts w:ascii="Amaranth" w:cs="Amaranth" w:eastAsia="Amaranth" w:hAnsi="Amaranth"/>
                <w:color w:val="ffffff"/>
                <w:sz w:val="28"/>
                <w:szCs w:val="28"/>
                <w:rtl w:val="0"/>
              </w:rPr>
              <w:t xml:space="preserve"> is </w:t>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maranth" w:cs="Amaranth" w:eastAsia="Amaranth" w:hAnsi="Amaranth"/>
                <w:b w:val="1"/>
                <w:bCs w:val="1"/>
                <w:color w:val="f1c232"/>
                <w:sz w:val="36"/>
                <w:szCs w:val="36"/>
                <w:highlight w:val="yellow"/>
                <w:u w:val="single"/>
              </w:rPr>
            </w:pPr>
            <w:r w:rsidDel="00000000" w:rsidR="00000000" w:rsidRPr="00000000">
              <w:rPr>
                <w:rFonts w:ascii="Amaranth" w:cs="Amaranth" w:eastAsia="Amaranth" w:hAnsi="Amaranth"/>
                <w:b w:val="1"/>
                <w:bCs w:val="1"/>
                <w:color w:val="f1c232"/>
                <w:sz w:val="36"/>
                <w:szCs w:val="36"/>
                <w:rtl w:val="0"/>
              </w:rPr>
              <w:t xml:space="preserve">How do relationships affect us?</w:t>
            </w:r>
            <w:r w:rsidDel="00000000" w:rsidR="00000000" w:rsidRPr="00000000">
              <w:rPr>
                <w:rtl w:val="0"/>
              </w:rPr>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maranth" w:cs="Amaranth" w:eastAsia="Amaranth" w:hAnsi="Amaranth"/>
                <w:color w:val="ffffff"/>
                <w:sz w:val="28"/>
                <w:szCs w:val="28"/>
              </w:rPr>
            </w:pPr>
            <w:r w:rsidDel="00000000" w:rsidR="00000000" w:rsidRPr="00000000">
              <w:rPr>
                <w:rtl w:val="0"/>
              </w:rPr>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maranth" w:cs="Amaranth" w:eastAsia="Amaranth" w:hAnsi="Amaranth"/>
                <w:color w:val="ffffff"/>
                <w:sz w:val="28"/>
                <w:szCs w:val="28"/>
              </w:rPr>
            </w:pPr>
            <w:r w:rsidDel="00000000" w:rsidR="00000000" w:rsidRPr="00000000">
              <w:rPr>
                <w:rFonts w:ascii="Amaranth" w:cs="Amaranth" w:eastAsia="Amaranth" w:hAnsi="Amaranth"/>
                <w:color w:val="ffffff"/>
                <w:sz w:val="28"/>
                <w:szCs w:val="28"/>
                <w:rtl w:val="0"/>
              </w:rPr>
              <w:t xml:space="preserve">Our School Gospel Virtue is Compassion.</w:t>
            </w:r>
            <w:r w:rsidDel="00000000" w:rsidR="00000000" w:rsidRPr="00000000">
              <w:rPr>
                <w:rtl w:val="0"/>
              </w:rPr>
            </w:r>
          </w:p>
        </w:tc>
      </w:tr>
      <w:tr>
        <w:trPr>
          <w:cantSplit w:val="0"/>
          <w:trHeight w:val="615" w:hRule="atLeast"/>
          <w:tblHeader w:val="0"/>
        </w:trPr>
        <w:tc>
          <w:tcPr>
            <w:gridSpan w:val="2"/>
            <w:shd w:fill="fff2cc" w:val="clear"/>
            <w:tcMar>
              <w:top w:w="100.0" w:type="dxa"/>
              <w:left w:w="100.0" w:type="dxa"/>
              <w:bottom w:w="100.0" w:type="dxa"/>
              <w:right w:w="100.0" w:type="dxa"/>
            </w:tcMar>
            <w:vAlign w:val="top"/>
          </w:tcPr>
          <w:p w:rsidR="00000000" w:rsidDel="00000000" w:rsidP="00000000" w:rsidRDefault="00000000" w:rsidRPr="00000000" w14:paraId="0000000D">
            <w:pPr>
              <w:pageBreakBefore w:val="0"/>
              <w:widowControl w:val="0"/>
              <w:spacing w:line="240" w:lineRule="auto"/>
              <w:jc w:val="center"/>
              <w:rPr>
                <w:rFonts w:ascii="Amaranth" w:cs="Amaranth" w:eastAsia="Amaranth" w:hAnsi="Amaranth"/>
              </w:rPr>
            </w:pPr>
            <w:r w:rsidDel="00000000" w:rsidR="00000000" w:rsidRPr="00000000">
              <w:rPr>
                <w:rFonts w:ascii="Amaranth" w:cs="Amaranth" w:eastAsia="Amaranth" w:hAnsi="Amaranth"/>
                <w:b w:val="1"/>
                <w:bCs w:val="1"/>
                <w:sz w:val="28"/>
                <w:szCs w:val="28"/>
                <w:rtl w:val="0"/>
              </w:rPr>
              <w:t xml:space="preserve">RE</w:t>
            </w:r>
            <w:r w:rsidDel="00000000" w:rsidR="00000000" w:rsidRPr="00000000">
              <w:rPr>
                <w:rtl w:val="0"/>
              </w:rPr>
            </w:r>
          </w:p>
        </w:tc>
        <w:tc>
          <w:tcPr>
            <w:gridSpan w:val="2"/>
            <w:shd w:fill="fff2cc" w:val="clear"/>
            <w:tcMar>
              <w:top w:w="100.0" w:type="dxa"/>
              <w:left w:w="100.0" w:type="dxa"/>
              <w:bottom w:w="100.0" w:type="dxa"/>
              <w:right w:w="100.0" w:type="dxa"/>
            </w:tcMar>
            <w:vAlign w:val="top"/>
          </w:tcPr>
          <w:p w:rsidR="00000000" w:rsidDel="00000000" w:rsidP="00000000" w:rsidRDefault="00000000" w:rsidRPr="00000000" w14:paraId="0000000F">
            <w:pPr>
              <w:widowControl w:val="0"/>
              <w:spacing w:line="240" w:lineRule="auto"/>
              <w:jc w:val="center"/>
              <w:rPr>
                <w:rFonts w:ascii="Amaranth" w:cs="Amaranth" w:eastAsia="Amaranth" w:hAnsi="Amaranth"/>
              </w:rPr>
            </w:pPr>
            <w:r w:rsidDel="00000000" w:rsidR="00000000" w:rsidRPr="00000000">
              <w:rPr>
                <w:rFonts w:ascii="Amaranth" w:cs="Amaranth" w:eastAsia="Amaranth" w:hAnsi="Amaranth"/>
                <w:b w:val="1"/>
                <w:bCs w:val="1"/>
                <w:sz w:val="28"/>
                <w:szCs w:val="28"/>
                <w:rtl w:val="0"/>
              </w:rPr>
              <w:t xml:space="preserve">Catholic Character Education/RSHE</w:t>
            </w:r>
            <w:r w:rsidDel="00000000" w:rsidR="00000000" w:rsidRPr="00000000">
              <w:rPr>
                <w:rtl w:val="0"/>
              </w:rPr>
            </w:r>
          </w:p>
        </w:tc>
        <w:tc>
          <w:tcPr>
            <w:gridSpan w:val="2"/>
            <w:shd w:fill="fff2cc" w:val="clear"/>
            <w:tcMar>
              <w:top w:w="100.0" w:type="dxa"/>
              <w:left w:w="100.0" w:type="dxa"/>
              <w:bottom w:w="100.0" w:type="dxa"/>
              <w:right w:w="100.0" w:type="dxa"/>
            </w:tcMar>
            <w:vAlign w:val="top"/>
          </w:tcPr>
          <w:p w:rsidR="00000000" w:rsidDel="00000000" w:rsidP="00000000" w:rsidRDefault="00000000" w:rsidRPr="00000000" w14:paraId="00000011">
            <w:pPr>
              <w:pageBreakBefore w:val="0"/>
              <w:spacing w:line="240" w:lineRule="auto"/>
              <w:jc w:val="center"/>
              <w:rPr>
                <w:rFonts w:ascii="Amaranth" w:cs="Amaranth" w:eastAsia="Amaranth" w:hAnsi="Amaranth"/>
                <w:b w:val="1"/>
                <w:bCs w:val="1"/>
                <w:sz w:val="28"/>
                <w:szCs w:val="28"/>
              </w:rPr>
            </w:pPr>
            <w:r w:rsidDel="00000000" w:rsidR="00000000" w:rsidRPr="00000000">
              <w:rPr>
                <w:rFonts w:ascii="Amaranth" w:cs="Amaranth" w:eastAsia="Amaranth" w:hAnsi="Amaranth"/>
                <w:b w:val="1"/>
                <w:bCs w:val="1"/>
                <w:sz w:val="28"/>
                <w:szCs w:val="28"/>
                <w:rtl w:val="0"/>
              </w:rPr>
              <w:t xml:space="preserve">English</w:t>
            </w:r>
          </w:p>
        </w:tc>
      </w:tr>
      <w:tr>
        <w:trPr>
          <w:cantSplit w:val="0"/>
          <w:trHeight w:val="1530" w:hRule="atLeast"/>
          <w:tblHeader w:val="0"/>
        </w:trPr>
        <w:tc>
          <w:tcPr>
            <w:gridSpan w:val="2"/>
            <w:vMerge w:val="restart"/>
            <w:shd w:fill="ffffff" w:val="clear"/>
            <w:tcMar>
              <w:top w:w="100.0" w:type="dxa"/>
              <w:left w:w="100.0" w:type="dxa"/>
              <w:bottom w:w="100.0" w:type="dxa"/>
              <w:right w:w="100.0" w:type="dxa"/>
            </w:tcMar>
            <w:vAlign w:val="top"/>
          </w:tcPr>
          <w:p w:rsidR="00000000" w:rsidDel="00000000" w:rsidP="00000000" w:rsidRDefault="00000000" w:rsidRPr="00000000" w14:paraId="00000013">
            <w:pPr>
              <w:widowControl w:val="0"/>
              <w:spacing w:after="240" w:before="240" w:line="240" w:lineRule="auto"/>
              <w:rPr>
                <w:rFonts w:ascii="Amaranth" w:cs="Amaranth" w:eastAsia="Amaranth" w:hAnsi="Amaranth"/>
                <w:sz w:val="20"/>
                <w:szCs w:val="20"/>
              </w:rPr>
            </w:pPr>
            <w:r w:rsidDel="00000000" w:rsidR="00000000" w:rsidRPr="00000000">
              <w:rPr>
                <w:rFonts w:ascii="Amaranth" w:cs="Amaranth" w:eastAsia="Amaranth" w:hAnsi="Amaranth"/>
                <w:sz w:val="20"/>
                <w:szCs w:val="20"/>
                <w:rtl w:val="0"/>
              </w:rPr>
              <w:t xml:space="preserve">In our Easter Unit, we will make connections between the events of Easter, Holy Week, the teachings and life of Jesus and the celebration of the Eucharist. There is a focus on learning about the appearance of Jesus to his disciples, particularly the breakfast on the shore. The symbolism of the Easter season, including the liturgical colours is also explored.</w:t>
            </w:r>
          </w:p>
          <w:p w:rsidR="00000000" w:rsidDel="00000000" w:rsidP="00000000" w:rsidRDefault="00000000" w:rsidRPr="00000000" w14:paraId="00000014">
            <w:pPr>
              <w:widowControl w:val="0"/>
              <w:spacing w:after="240" w:before="240" w:line="240" w:lineRule="auto"/>
              <w:rPr>
                <w:rFonts w:ascii="Amaranth" w:cs="Amaranth" w:eastAsia="Amaranth" w:hAnsi="Amaranth"/>
                <w:sz w:val="20"/>
                <w:szCs w:val="20"/>
              </w:rPr>
            </w:pPr>
            <w:r w:rsidDel="00000000" w:rsidR="00000000" w:rsidRPr="00000000">
              <w:rPr>
                <w:rFonts w:ascii="Amaranth" w:cs="Amaranth" w:eastAsia="Amaranth" w:hAnsi="Amaranth"/>
                <w:sz w:val="20"/>
                <w:szCs w:val="20"/>
                <w:rtl w:val="0"/>
              </w:rPr>
              <w:t xml:space="preserve">Children will also learn about the historic events surrounding the election of a new pope and the pope’s role in the church.</w:t>
            </w:r>
          </w:p>
        </w:tc>
        <w:tc>
          <w:tcPr>
            <w:gridSpan w:val="2"/>
            <w:vMerge w:val="restart"/>
            <w:shd w:fill="ffffff" w:val="clear"/>
            <w:tcMar>
              <w:top w:w="100.0" w:type="dxa"/>
              <w:left w:w="100.0" w:type="dxa"/>
              <w:bottom w:w="100.0" w:type="dxa"/>
              <w:right w:w="100.0" w:type="dxa"/>
            </w:tcMar>
            <w:vAlign w:val="top"/>
          </w:tcPr>
          <w:p w:rsidR="00000000" w:rsidDel="00000000" w:rsidP="00000000" w:rsidRDefault="00000000" w:rsidRPr="00000000" w14:paraId="00000016">
            <w:pPr>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sz w:val="20"/>
                <w:szCs w:val="20"/>
                <w:rtl w:val="0"/>
              </w:rPr>
              <w:t xml:space="preserve">In RSHE we will be looking at living in the wider world, and thinking about what makes a community. Children will understand that they belong to different groups, and what it means to have a diverse community. We will learn about how we can help everybody feel included and show respect to people who may live differently. </w:t>
            </w:r>
          </w:p>
          <w:p w:rsidR="00000000" w:rsidDel="00000000" w:rsidP="00000000" w:rsidRDefault="00000000" w:rsidRPr="00000000" w14:paraId="00000017">
            <w:pPr>
              <w:widowControl w:val="0"/>
              <w:spacing w:line="240" w:lineRule="auto"/>
              <w:rPr>
                <w:rFonts w:ascii="Amaranth" w:cs="Amaranth" w:eastAsia="Amaranth" w:hAnsi="Amaranth"/>
                <w:sz w:val="24"/>
                <w:szCs w:val="24"/>
              </w:rPr>
            </w:pPr>
            <w:r w:rsidDel="00000000" w:rsidR="00000000" w:rsidRPr="00000000">
              <w:rPr>
                <w:rtl w:val="0"/>
              </w:rPr>
            </w:r>
          </w:p>
          <w:p w:rsidR="00000000" w:rsidDel="00000000" w:rsidP="00000000" w:rsidRDefault="00000000" w:rsidRPr="00000000" w14:paraId="00000018">
            <w:pPr>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sz w:val="20"/>
                <w:szCs w:val="20"/>
                <w:rtl w:val="0"/>
              </w:rPr>
              <w:t xml:space="preserve">In our Catholic Character Education we are looking at the school's gospel virtue value of ‘compassion’. The children will revisit the parable of the Good Samaritan and consider why and how this demonstrates compassion. The children will think about how they can be a compassionate person in their daily lives.</w:t>
            </w:r>
            <w:r w:rsidDel="00000000" w:rsidR="00000000" w:rsidRPr="00000000">
              <w:rPr>
                <w:rtl w:val="0"/>
              </w:rPr>
            </w:r>
          </w:p>
        </w:tc>
        <w:tc>
          <w:tcPr>
            <w:gridSpan w:val="2"/>
            <w:vMerge w:val="restart"/>
            <w:shd w:fill="ffffff" w:val="clear"/>
            <w:tcMar>
              <w:top w:w="100.0" w:type="dxa"/>
              <w:left w:w="100.0" w:type="dxa"/>
              <w:bottom w:w="100.0" w:type="dxa"/>
              <w:right w:w="100.0" w:type="dxa"/>
            </w:tcMar>
            <w:vAlign w:val="top"/>
          </w:tcPr>
          <w:p w:rsidR="00000000" w:rsidDel="00000000" w:rsidP="00000000" w:rsidRDefault="00000000" w:rsidRPr="00000000" w14:paraId="0000001A">
            <w:pPr>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sz w:val="20"/>
                <w:szCs w:val="20"/>
                <w:rtl w:val="0"/>
              </w:rPr>
              <w:t xml:space="preserve">For our fiction unit, we will be looking at Fables. The children will learn about aspects of a fable story and important features to include. At the end of our fiction unit the children will write their own fable.</w:t>
            </w:r>
          </w:p>
          <w:p w:rsidR="00000000" w:rsidDel="00000000" w:rsidP="00000000" w:rsidRDefault="00000000" w:rsidRPr="00000000" w14:paraId="0000001B">
            <w:pPr>
              <w:widowControl w:val="0"/>
              <w:spacing w:line="240" w:lineRule="auto"/>
              <w:rPr>
                <w:rFonts w:ascii="Amaranth" w:cs="Amaranth" w:eastAsia="Amaranth" w:hAnsi="Amaranth"/>
                <w:b w:val="1"/>
                <w:bCs w:val="1"/>
                <w:sz w:val="20"/>
                <w:szCs w:val="20"/>
              </w:rPr>
            </w:pPr>
            <w:r w:rsidDel="00000000" w:rsidR="00000000" w:rsidRPr="00000000">
              <w:rPr>
                <w:rtl w:val="0"/>
              </w:rPr>
            </w:r>
          </w:p>
          <w:p w:rsidR="00000000" w:rsidDel="00000000" w:rsidP="00000000" w:rsidRDefault="00000000" w:rsidRPr="00000000" w14:paraId="0000001C">
            <w:pPr>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sz w:val="20"/>
                <w:szCs w:val="20"/>
                <w:rtl w:val="0"/>
              </w:rPr>
              <w:t xml:space="preserve">We will then move onto non-fiction, looking at discussion texts and balanced arguments. The children will understand the features of a balanced argument. At the end of this unit, the children will write a balanced argument based on our class text (Fantastic Mr Fox).</w:t>
            </w:r>
          </w:p>
        </w:tc>
      </w:tr>
      <w:tr>
        <w:trPr>
          <w:cantSplit w:val="0"/>
          <w:trHeight w:val="540" w:hRule="atLeast"/>
          <w:tblHeader w:val="0"/>
        </w:trPr>
        <w:tc>
          <w:tcPr>
            <w:gridSpan w:val="2"/>
            <w:vMerge w:val="continue"/>
            <w:shd w:fill="ffffff" w:val="clear"/>
            <w:tcMar>
              <w:top w:w="100.0" w:type="dxa"/>
              <w:left w:w="100.0" w:type="dxa"/>
              <w:bottom w:w="100.0" w:type="dxa"/>
              <w:right w:w="100.0" w:type="dxa"/>
            </w:tcMar>
            <w:vAlign w:val="top"/>
          </w:tcPr>
          <w:p w:rsidR="00000000" w:rsidDel="00000000" w:rsidP="00000000" w:rsidRDefault="00000000" w:rsidRPr="00000000" w14:paraId="0000001E">
            <w:pPr>
              <w:pageBreakBefore w:val="0"/>
              <w:widowControl w:val="0"/>
              <w:spacing w:after="0" w:before="0" w:line="240" w:lineRule="auto"/>
              <w:ind w:left="0" w:firstLine="0"/>
              <w:rPr>
                <w:rFonts w:ascii="Amaranth" w:cs="Amaranth" w:eastAsia="Amaranth" w:hAnsi="Amaranth"/>
                <w:sz w:val="20"/>
                <w:szCs w:val="20"/>
              </w:rPr>
            </w:pPr>
            <w:r w:rsidDel="00000000" w:rsidR="00000000" w:rsidRPr="00000000">
              <w:rPr>
                <w:rtl w:val="0"/>
              </w:rPr>
            </w:r>
          </w:p>
        </w:tc>
        <w:tc>
          <w:tcPr>
            <w:gridSpan w:val="2"/>
            <w:vMerge w:val="continue"/>
            <w:shd w:fill="fff2cc" w:val="clear"/>
            <w:tcMar>
              <w:top w:w="100.0" w:type="dxa"/>
              <w:left w:w="100.0" w:type="dxa"/>
              <w:bottom w:w="100.0" w:type="dxa"/>
              <w:right w:w="100.0" w:type="dxa"/>
            </w:tcMar>
            <w:vAlign w:val="top"/>
          </w:tcPr>
          <w:p w:rsidR="00000000" w:rsidDel="00000000" w:rsidP="00000000" w:rsidRDefault="00000000" w:rsidRPr="00000000" w14:paraId="00000020">
            <w:pPr>
              <w:pageBreakBefore w:val="0"/>
              <w:widowControl w:val="0"/>
              <w:spacing w:after="0" w:before="0" w:line="240" w:lineRule="auto"/>
              <w:ind w:left="0" w:firstLine="0"/>
              <w:jc w:val="center"/>
              <w:rPr>
                <w:rFonts w:ascii="Amaranth" w:cs="Amaranth" w:eastAsia="Amaranth" w:hAnsi="Amaranth"/>
                <w:b w:val="1"/>
                <w:bCs w:val="1"/>
                <w:sz w:val="20"/>
                <w:szCs w:val="20"/>
                <w:u w:val="single"/>
              </w:rPr>
            </w:pPr>
            <w:r w:rsidDel="00000000" w:rsidR="00000000" w:rsidRPr="00000000">
              <w:rPr>
                <w:rtl w:val="0"/>
              </w:rPr>
            </w:r>
          </w:p>
        </w:tc>
        <w:tc>
          <w:tcPr>
            <w:gridSpan w:val="2"/>
            <w:vMerge w:val="continue"/>
            <w:shd w:fill="ffffff" w:val="clear"/>
            <w:tcMar>
              <w:top w:w="100.0" w:type="dxa"/>
              <w:left w:w="100.0" w:type="dxa"/>
              <w:bottom w:w="100.0" w:type="dxa"/>
              <w:right w:w="100.0" w:type="dxa"/>
            </w:tcMar>
            <w:vAlign w:val="top"/>
          </w:tcPr>
          <w:p w:rsidR="00000000" w:rsidDel="00000000" w:rsidP="00000000" w:rsidRDefault="00000000" w:rsidRPr="00000000" w14:paraId="00000022">
            <w:pPr>
              <w:pageBreakBefore w:val="0"/>
              <w:widowControl w:val="0"/>
              <w:spacing w:after="0" w:before="0" w:line="240" w:lineRule="auto"/>
              <w:ind w:left="0" w:firstLine="0"/>
              <w:jc w:val="center"/>
              <w:rPr>
                <w:rFonts w:ascii="Amaranth" w:cs="Amaranth" w:eastAsia="Amaranth" w:hAnsi="Amaranth"/>
                <w:sz w:val="28"/>
                <w:szCs w:val="28"/>
                <w:u w:val="single"/>
              </w:rPr>
            </w:pPr>
            <w:r w:rsidDel="00000000" w:rsidR="00000000" w:rsidRPr="00000000">
              <w:rPr>
                <w:rtl w:val="0"/>
              </w:rPr>
            </w:r>
          </w:p>
        </w:tc>
      </w:tr>
      <w:tr>
        <w:trPr>
          <w:cantSplit w:val="0"/>
          <w:trHeight w:val="1065" w:hRule="atLeast"/>
          <w:tblHeader w:val="0"/>
        </w:trPr>
        <w:tc>
          <w:tcPr>
            <w:gridSpan w:val="2"/>
            <w:vMerge w:val="continue"/>
            <w:shd w:fill="ffffff" w:val="clear"/>
            <w:tcMar>
              <w:top w:w="100.0" w:type="dxa"/>
              <w:left w:w="100.0" w:type="dxa"/>
              <w:bottom w:w="100.0" w:type="dxa"/>
              <w:right w:w="100.0" w:type="dxa"/>
            </w:tcMar>
            <w:vAlign w:val="top"/>
          </w:tcPr>
          <w:p w:rsidR="00000000" w:rsidDel="00000000" w:rsidP="00000000" w:rsidRDefault="00000000" w:rsidRPr="00000000" w14:paraId="00000024">
            <w:pPr>
              <w:pageBreakBefore w:val="0"/>
              <w:widowControl w:val="0"/>
              <w:spacing w:after="0" w:before="0" w:line="240" w:lineRule="auto"/>
              <w:ind w:left="0" w:firstLine="0"/>
              <w:rPr>
                <w:rFonts w:ascii="Amaranth" w:cs="Amaranth" w:eastAsia="Amaranth" w:hAnsi="Amaranth"/>
                <w:sz w:val="20"/>
                <w:szCs w:val="20"/>
              </w:rPr>
            </w:pPr>
            <w:r w:rsidDel="00000000" w:rsidR="00000000" w:rsidRPr="00000000">
              <w:rPr>
                <w:rtl w:val="0"/>
              </w:rPr>
            </w:r>
          </w:p>
        </w:tc>
        <w:tc>
          <w:tcPr>
            <w:gridSpan w:val="2"/>
            <w:vMerge w:val="continue"/>
            <w:shd w:fill="ffffff" w:val="clear"/>
            <w:tcMar>
              <w:top w:w="100.0" w:type="dxa"/>
              <w:left w:w="100.0" w:type="dxa"/>
              <w:bottom w:w="100.0" w:type="dxa"/>
              <w:right w:w="100.0" w:type="dxa"/>
            </w:tcMar>
            <w:vAlign w:val="top"/>
          </w:tcPr>
          <w:p w:rsidR="00000000" w:rsidDel="00000000" w:rsidP="00000000" w:rsidRDefault="00000000" w:rsidRPr="00000000" w14:paraId="00000026">
            <w:pPr>
              <w:pageBreakBefore w:val="0"/>
              <w:widowControl w:val="0"/>
              <w:spacing w:after="0" w:before="0" w:line="240" w:lineRule="auto"/>
              <w:ind w:left="0" w:firstLine="0"/>
              <w:rPr>
                <w:rFonts w:ascii="Amaranth" w:cs="Amaranth" w:eastAsia="Amaranth" w:hAnsi="Amaranth"/>
                <w:b w:val="1"/>
                <w:bCs w:val="1"/>
                <w:sz w:val="24"/>
                <w:szCs w:val="24"/>
              </w:rPr>
            </w:pPr>
            <w:r w:rsidDel="00000000" w:rsidR="00000000" w:rsidRPr="00000000">
              <w:rPr>
                <w:rtl w:val="0"/>
              </w:rPr>
            </w:r>
          </w:p>
        </w:tc>
        <w:tc>
          <w:tcPr>
            <w:gridSpan w:val="2"/>
            <w:vMerge w:val="continue"/>
            <w:shd w:fill="ffffff" w:val="clear"/>
            <w:tcMar>
              <w:top w:w="100.0" w:type="dxa"/>
              <w:left w:w="100.0" w:type="dxa"/>
              <w:bottom w:w="100.0" w:type="dxa"/>
              <w:right w:w="100.0" w:type="dxa"/>
            </w:tcMar>
            <w:vAlign w:val="top"/>
          </w:tcPr>
          <w:p w:rsidR="00000000" w:rsidDel="00000000" w:rsidP="00000000" w:rsidRDefault="00000000" w:rsidRPr="00000000" w14:paraId="00000028">
            <w:pPr>
              <w:pageBreakBefore w:val="0"/>
              <w:widowControl w:val="0"/>
              <w:spacing w:after="0" w:before="0" w:line="240" w:lineRule="auto"/>
              <w:ind w:left="0" w:firstLine="0"/>
              <w:jc w:val="center"/>
              <w:rPr>
                <w:rFonts w:ascii="Amaranth" w:cs="Amaranth" w:eastAsia="Amaranth" w:hAnsi="Amaranth"/>
                <w:sz w:val="28"/>
                <w:szCs w:val="28"/>
                <w:u w:val="single"/>
              </w:rPr>
            </w:pPr>
            <w:r w:rsidDel="00000000" w:rsidR="00000000" w:rsidRPr="00000000">
              <w:rPr>
                <w:rtl w:val="0"/>
              </w:rPr>
            </w:r>
          </w:p>
        </w:tc>
      </w:tr>
      <w:tr>
        <w:trPr>
          <w:cantSplit w:val="0"/>
          <w:trHeight w:val="615" w:hRule="atLeast"/>
          <w:tblHeader w:val="0"/>
        </w:trPr>
        <w:tc>
          <w:tcPr>
            <w:gridSpan w:val="2"/>
            <w:shd w:fill="fff2cc" w:val="clear"/>
            <w:tcMar>
              <w:top w:w="100.0" w:type="dxa"/>
              <w:left w:w="100.0" w:type="dxa"/>
              <w:bottom w:w="100.0" w:type="dxa"/>
              <w:right w:w="100.0" w:type="dxa"/>
            </w:tcMar>
            <w:vAlign w:val="top"/>
          </w:tcPr>
          <w:p w:rsidR="00000000" w:rsidDel="00000000" w:rsidP="00000000" w:rsidRDefault="00000000" w:rsidRPr="00000000" w14:paraId="0000002A">
            <w:pPr>
              <w:widowControl w:val="0"/>
              <w:spacing w:line="240" w:lineRule="auto"/>
              <w:jc w:val="center"/>
              <w:rPr>
                <w:rFonts w:ascii="Amaranth" w:cs="Amaranth" w:eastAsia="Amaranth" w:hAnsi="Amaranth"/>
                <w:sz w:val="20"/>
                <w:szCs w:val="20"/>
              </w:rPr>
            </w:pPr>
            <w:r w:rsidDel="00000000" w:rsidR="00000000" w:rsidRPr="00000000">
              <w:rPr>
                <w:rFonts w:ascii="Amaranth" w:cs="Amaranth" w:eastAsia="Amaranth" w:hAnsi="Amaranth"/>
                <w:b w:val="1"/>
                <w:bCs w:val="1"/>
                <w:sz w:val="28"/>
                <w:szCs w:val="28"/>
                <w:rtl w:val="0"/>
              </w:rPr>
              <w:t xml:space="preserve">Maths</w:t>
            </w:r>
            <w:r w:rsidDel="00000000" w:rsidR="00000000" w:rsidRPr="00000000">
              <w:rPr>
                <w:rtl w:val="0"/>
              </w:rPr>
            </w:r>
          </w:p>
        </w:tc>
        <w:tc>
          <w:tcPr>
            <w:gridSpan w:val="2"/>
            <w:shd w:fill="fff2cc" w:val="clear"/>
            <w:tcMar>
              <w:top w:w="100.0" w:type="dxa"/>
              <w:left w:w="100.0" w:type="dxa"/>
              <w:bottom w:w="100.0" w:type="dxa"/>
              <w:right w:w="100.0" w:type="dxa"/>
            </w:tcMar>
            <w:vAlign w:val="top"/>
          </w:tcPr>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maranth" w:cs="Amaranth" w:eastAsia="Amaranth" w:hAnsi="Amaranth"/>
              </w:rPr>
            </w:pPr>
            <w:r w:rsidDel="00000000" w:rsidR="00000000" w:rsidRPr="00000000">
              <w:rPr>
                <w:rFonts w:ascii="Amaranth" w:cs="Amaranth" w:eastAsia="Amaranth" w:hAnsi="Amaranth"/>
                <w:b w:val="1"/>
                <w:bCs w:val="1"/>
                <w:sz w:val="28"/>
                <w:szCs w:val="28"/>
                <w:rtl w:val="0"/>
              </w:rPr>
              <w:t xml:space="preserve">History</w:t>
            </w:r>
            <w:r w:rsidDel="00000000" w:rsidR="00000000" w:rsidRPr="00000000">
              <w:rPr>
                <w:rtl w:val="0"/>
              </w:rPr>
            </w:r>
          </w:p>
          <w:p w:rsidR="00000000" w:rsidDel="00000000" w:rsidP="00000000" w:rsidRDefault="00000000" w:rsidRPr="00000000" w14:paraId="0000002D">
            <w:pPr>
              <w:widowControl w:val="0"/>
              <w:spacing w:line="240" w:lineRule="auto"/>
              <w:jc w:val="center"/>
              <w:rPr>
                <w:rFonts w:ascii="Amaranth" w:cs="Amaranth" w:eastAsia="Amaranth" w:hAnsi="Amaranth"/>
                <w:b w:val="1"/>
                <w:bCs w:val="1"/>
                <w:sz w:val="28"/>
                <w:szCs w:val="28"/>
              </w:rPr>
            </w:pPr>
            <w:r w:rsidDel="00000000" w:rsidR="00000000" w:rsidRPr="00000000">
              <w:rPr>
                <w:rtl w:val="0"/>
              </w:rPr>
            </w:r>
          </w:p>
        </w:tc>
        <w:tc>
          <w:tcPr>
            <w:gridSpan w:val="2"/>
            <w:shd w:fill="fff2cc" w:val="clear"/>
            <w:tcMar>
              <w:top w:w="100.0" w:type="dxa"/>
              <w:left w:w="100.0" w:type="dxa"/>
              <w:bottom w:w="100.0" w:type="dxa"/>
              <w:right w:w="100.0" w:type="dxa"/>
            </w:tcMar>
            <w:vAlign w:val="top"/>
          </w:tcPr>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maranth" w:cs="Amaranth" w:eastAsia="Amaranth" w:hAnsi="Amaranth"/>
                <w:sz w:val="20"/>
                <w:szCs w:val="20"/>
              </w:rPr>
            </w:pPr>
            <w:r w:rsidDel="00000000" w:rsidR="00000000" w:rsidRPr="00000000">
              <w:rPr>
                <w:rFonts w:ascii="Amaranth" w:cs="Amaranth" w:eastAsia="Amaranth" w:hAnsi="Amaranth"/>
                <w:b w:val="1"/>
                <w:bCs w:val="1"/>
                <w:sz w:val="28"/>
                <w:szCs w:val="28"/>
                <w:rtl w:val="0"/>
              </w:rPr>
              <w:t xml:space="preserve">Arts and Culture     </w:t>
            </w:r>
            <w:r w:rsidDel="00000000" w:rsidR="00000000" w:rsidRPr="00000000">
              <w:rPr>
                <w:rtl w:val="0"/>
              </w:rPr>
            </w:r>
          </w:p>
        </w:tc>
      </w:tr>
      <w:tr>
        <w:trPr>
          <w:cantSplit w:val="0"/>
          <w:trHeight w:val="4215" w:hRule="atLeast"/>
          <w:tblHeader w:val="0"/>
        </w:trPr>
        <w:tc>
          <w:tcPr>
            <w:gridSpan w:val="2"/>
            <w:tcMar>
              <w:top w:w="100.0" w:type="dxa"/>
              <w:left w:w="100.0" w:type="dxa"/>
              <w:bottom w:w="100.0" w:type="dxa"/>
              <w:right w:w="100.0" w:type="dxa"/>
            </w:tcMar>
            <w:vAlign w:val="top"/>
          </w:tcPr>
          <w:p w:rsidR="00000000" w:rsidDel="00000000" w:rsidP="00000000" w:rsidRDefault="00000000" w:rsidRPr="00000000" w14:paraId="00000031">
            <w:pPr>
              <w:widowControl w:val="0"/>
              <w:spacing w:line="240" w:lineRule="auto"/>
              <w:rPr>
                <w:rFonts w:ascii="Amaranth" w:cs="Amaranth" w:eastAsia="Amaranth" w:hAnsi="Amaranth"/>
              </w:rPr>
            </w:pPr>
            <w:r w:rsidDel="00000000" w:rsidR="00000000" w:rsidRPr="00000000">
              <w:rPr>
                <w:rFonts w:ascii="Amaranth" w:cs="Amaranth" w:eastAsia="Amaranth" w:hAnsi="Amaranth"/>
                <w:rtl w:val="0"/>
              </w:rPr>
              <w:t xml:space="preserve">This term in Maths, we will be focusing on mastering our understanding of fractions. We’ll begin by revisiting what fractions are, how they represent parts of a whole, and how to recognise and compare them. Then, we’ll dive deeper into adding, subtracting, and finding equivalent fractions. We'll also explore how fractions are used in real-life situations, like sharing food or dividing time.</w:t>
            </w:r>
          </w:p>
          <w:p w:rsidR="00000000" w:rsidDel="00000000" w:rsidP="00000000" w:rsidRDefault="00000000" w:rsidRPr="00000000" w14:paraId="00000032">
            <w:pPr>
              <w:widowControl w:val="0"/>
              <w:spacing w:line="240" w:lineRule="auto"/>
              <w:rPr>
                <w:rFonts w:ascii="Amaranth" w:cs="Amaranth" w:eastAsia="Amaranth" w:hAnsi="Amaranth"/>
              </w:rPr>
            </w:pPr>
            <w:r w:rsidDel="00000000" w:rsidR="00000000" w:rsidRPr="00000000">
              <w:rPr>
                <w:rtl w:val="0"/>
              </w:rPr>
            </w:r>
          </w:p>
          <w:p w:rsidR="00000000" w:rsidDel="00000000" w:rsidP="00000000" w:rsidRDefault="00000000" w:rsidRPr="00000000" w14:paraId="00000033">
            <w:pPr>
              <w:widowControl w:val="0"/>
              <w:spacing w:line="240" w:lineRule="auto"/>
              <w:rPr>
                <w:rFonts w:ascii="Amaranth" w:cs="Amaranth" w:eastAsia="Amaranth" w:hAnsi="Amaranth"/>
              </w:rPr>
            </w:pPr>
            <w:r w:rsidDel="00000000" w:rsidR="00000000" w:rsidRPr="00000000">
              <w:rPr>
                <w:rFonts w:ascii="Amaranth" w:cs="Amaranth" w:eastAsia="Amaranth" w:hAnsi="Amaranth"/>
                <w:rtl w:val="0"/>
              </w:rPr>
              <w:t xml:space="preserve">As we become more confident with fractions, we will start solving more complex problems involving them. We'll use visual aids, number lines, and practical activities to help us understand. Our goal is to not only be able to calculate with fractions but to truly understand what they mean and how they are used.</w:t>
            </w:r>
          </w:p>
          <w:p w:rsidR="00000000" w:rsidDel="00000000" w:rsidP="00000000" w:rsidRDefault="00000000" w:rsidRPr="00000000" w14:paraId="00000034">
            <w:pPr>
              <w:widowControl w:val="0"/>
              <w:spacing w:line="240" w:lineRule="auto"/>
              <w:rPr>
                <w:rFonts w:ascii="Amaranth" w:cs="Amaranth" w:eastAsia="Amaranth" w:hAnsi="Amaranth"/>
              </w:rPr>
            </w:pPr>
            <w:r w:rsidDel="00000000" w:rsidR="00000000" w:rsidRPr="00000000">
              <w:rPr>
                <w:rtl w:val="0"/>
              </w:rPr>
            </w:r>
          </w:p>
          <w:p w:rsidR="00000000" w:rsidDel="00000000" w:rsidP="00000000" w:rsidRDefault="00000000" w:rsidRPr="00000000" w14:paraId="00000035">
            <w:pPr>
              <w:widowControl w:val="0"/>
              <w:spacing w:line="240" w:lineRule="auto"/>
              <w:rPr>
                <w:rFonts w:ascii="Amaranth" w:cs="Amaranth" w:eastAsia="Amaranth" w:hAnsi="Amaranth"/>
              </w:rPr>
            </w:pPr>
            <w:r w:rsidDel="00000000" w:rsidR="00000000" w:rsidRPr="00000000">
              <w:rPr>
                <w:rFonts w:ascii="Amaranth" w:cs="Amaranth" w:eastAsia="Amaranth" w:hAnsi="Amaranth"/>
                <w:rtl w:val="0"/>
              </w:rPr>
              <w:t xml:space="preserve">Alongside fractions, we will also be learning more about measuring. We will explore measuring in grams and kilograms and also measure capacity and volume in liters and millimeters. </w:t>
            </w:r>
            <w:r w:rsidDel="00000000" w:rsidR="00000000" w:rsidRPr="00000000">
              <w:rPr>
                <w:rtl w:val="0"/>
              </w:rPr>
            </w:r>
          </w:p>
        </w:tc>
        <w:tc>
          <w:tcPr>
            <w:gridSpan w:val="2"/>
            <w:tcMar>
              <w:top w:w="100.0" w:type="dxa"/>
              <w:left w:w="100.0" w:type="dxa"/>
              <w:bottom w:w="100.0" w:type="dxa"/>
              <w:right w:w="100.0" w:type="dxa"/>
            </w:tcMar>
            <w:vAlign w:val="top"/>
          </w:tcPr>
          <w:p w:rsidR="00000000" w:rsidDel="00000000" w:rsidP="00000000" w:rsidRDefault="00000000" w:rsidRPr="00000000" w14:paraId="00000037">
            <w:pPr>
              <w:widowControl w:val="0"/>
              <w:spacing w:line="240" w:lineRule="auto"/>
              <w:rPr>
                <w:rFonts w:ascii="Amaranth" w:cs="Amaranth" w:eastAsia="Amaranth" w:hAnsi="Amaranth"/>
              </w:rPr>
            </w:pPr>
            <w:r w:rsidDel="00000000" w:rsidR="00000000" w:rsidRPr="00000000">
              <w:rPr>
                <w:rFonts w:ascii="Amaranth" w:cs="Amaranth" w:eastAsia="Amaranth" w:hAnsi="Amaranth"/>
                <w:rtl w:val="0"/>
              </w:rPr>
              <w:t xml:space="preserve">In History, we will be looking at the transition from the Bronze Age to the Iron Age. We will look at significant aspects of these time periods and think about what daily life was like for people during this time.</w:t>
            </w:r>
          </w:p>
          <w:p w:rsidR="00000000" w:rsidDel="00000000" w:rsidP="00000000" w:rsidRDefault="00000000" w:rsidRPr="00000000" w14:paraId="00000038">
            <w:pPr>
              <w:widowControl w:val="0"/>
              <w:spacing w:line="240" w:lineRule="auto"/>
              <w:rPr>
                <w:rFonts w:ascii="Amaranth" w:cs="Amaranth" w:eastAsia="Amaranth" w:hAnsi="Amaranth"/>
              </w:rPr>
            </w:pPr>
            <w:r w:rsidDel="00000000" w:rsidR="00000000" w:rsidRPr="00000000">
              <w:rPr>
                <w:rtl w:val="0"/>
              </w:rPr>
            </w:r>
          </w:p>
          <w:p w:rsidR="00000000" w:rsidDel="00000000" w:rsidP="00000000" w:rsidRDefault="00000000" w:rsidRPr="00000000" w14:paraId="00000039">
            <w:pPr>
              <w:widowControl w:val="0"/>
              <w:spacing w:line="240" w:lineRule="auto"/>
              <w:rPr>
                <w:rFonts w:ascii="Amaranth" w:cs="Amaranth" w:eastAsia="Amaranth" w:hAnsi="Amaranth"/>
              </w:rPr>
            </w:pPr>
            <w:r w:rsidDel="00000000" w:rsidR="00000000" w:rsidRPr="00000000">
              <w:rPr>
                <w:rFonts w:ascii="Amaranth" w:cs="Amaranth" w:eastAsia="Amaranth" w:hAnsi="Amaranth"/>
                <w:rtl w:val="0"/>
              </w:rPr>
              <w:t xml:space="preserve">The children will understand why the Bronze and Iron age were given those names and think about why the discovery of bronze and iron was significant. </w:t>
            </w:r>
          </w:p>
          <w:p w:rsidR="00000000" w:rsidDel="00000000" w:rsidP="00000000" w:rsidRDefault="00000000" w:rsidRPr="00000000" w14:paraId="0000003A">
            <w:pPr>
              <w:widowControl w:val="0"/>
              <w:spacing w:line="240" w:lineRule="auto"/>
              <w:rPr>
                <w:rFonts w:ascii="Amaranth" w:cs="Amaranth" w:eastAsia="Amaranth" w:hAnsi="Amaranth"/>
              </w:rPr>
            </w:pPr>
            <w:r w:rsidDel="00000000" w:rsidR="00000000" w:rsidRPr="00000000">
              <w:rPr>
                <w:rtl w:val="0"/>
              </w:rPr>
            </w:r>
          </w:p>
          <w:p w:rsidR="00000000" w:rsidDel="00000000" w:rsidP="00000000" w:rsidRDefault="00000000" w:rsidRPr="00000000" w14:paraId="0000003B">
            <w:pPr>
              <w:widowControl w:val="0"/>
              <w:spacing w:line="240" w:lineRule="auto"/>
              <w:rPr>
                <w:rFonts w:ascii="Amaranth" w:cs="Amaranth" w:eastAsia="Amaranth" w:hAnsi="Amaranth"/>
              </w:rPr>
            </w:pPr>
            <w:r w:rsidDel="00000000" w:rsidR="00000000" w:rsidRPr="00000000">
              <w:rPr>
                <w:rFonts w:ascii="Amaranth" w:cs="Amaranth" w:eastAsia="Amaranth" w:hAnsi="Amaranth"/>
                <w:rtl w:val="0"/>
              </w:rPr>
              <w:t xml:space="preserve">We will look at homes during the Iron Age and how archaeologists have found out about the Iron Age. We will also explore religious beliefs during the Iron Age.</w:t>
            </w:r>
            <w:r w:rsidDel="00000000" w:rsidR="00000000" w:rsidRPr="00000000">
              <w:rPr>
                <w:rtl w:val="0"/>
              </w:rPr>
            </w:r>
          </w:p>
        </w:tc>
        <w:tc>
          <w:tcPr>
            <w:tcMar>
              <w:top w:w="100.0" w:type="dxa"/>
              <w:left w:w="100.0" w:type="dxa"/>
              <w:bottom w:w="100.0" w:type="dxa"/>
              <w:right w:w="100.0" w:type="dxa"/>
            </w:tcMar>
            <w:vAlign w:val="top"/>
          </w:tcPr>
          <w:p w:rsidR="00000000" w:rsidDel="00000000" w:rsidP="00000000" w:rsidRDefault="00000000" w:rsidRPr="00000000" w14:paraId="0000003D">
            <w:pPr>
              <w:widowControl w:val="0"/>
              <w:spacing w:line="240" w:lineRule="auto"/>
              <w:rPr>
                <w:rFonts w:ascii="Amaranth" w:cs="Amaranth" w:eastAsia="Amaranth" w:hAnsi="Amaranth"/>
              </w:rPr>
            </w:pPr>
            <w:r w:rsidDel="00000000" w:rsidR="00000000" w:rsidRPr="00000000">
              <w:rPr>
                <w:rFonts w:ascii="Amaranth" w:cs="Amaranth" w:eastAsia="Amaranth" w:hAnsi="Amaranth"/>
                <w:rtl w:val="0"/>
              </w:rPr>
              <w:t xml:space="preserve">Art and DT: </w:t>
            </w:r>
          </w:p>
          <w:p w:rsidR="00000000" w:rsidDel="00000000" w:rsidP="00000000" w:rsidRDefault="00000000" w:rsidRPr="00000000" w14:paraId="0000003E">
            <w:pPr>
              <w:widowControl w:val="0"/>
              <w:spacing w:line="240" w:lineRule="auto"/>
              <w:rPr>
                <w:rFonts w:ascii="Amaranth" w:cs="Amaranth" w:eastAsia="Amaranth" w:hAnsi="Amaranth"/>
              </w:rPr>
            </w:pPr>
            <w:r w:rsidDel="00000000" w:rsidR="00000000" w:rsidRPr="00000000">
              <w:rPr>
                <w:rtl w:val="0"/>
              </w:rPr>
            </w:r>
          </w:p>
          <w:p w:rsidR="00000000" w:rsidDel="00000000" w:rsidP="00000000" w:rsidRDefault="00000000" w:rsidRPr="00000000" w14:paraId="0000003F">
            <w:pPr>
              <w:widowControl w:val="0"/>
              <w:spacing w:line="240" w:lineRule="auto"/>
              <w:rPr>
                <w:rFonts w:ascii="Amaranth" w:cs="Amaranth" w:eastAsia="Amaranth" w:hAnsi="Amaranth"/>
                <w:highlight w:val="white"/>
              </w:rPr>
            </w:pPr>
            <w:r w:rsidDel="00000000" w:rsidR="00000000" w:rsidRPr="00000000">
              <w:rPr>
                <w:rFonts w:ascii="Amaranth" w:cs="Amaranth" w:eastAsia="Amaranth" w:hAnsi="Amaranth"/>
                <w:highlight w:val="white"/>
                <w:rtl w:val="0"/>
              </w:rPr>
              <w:t xml:space="preserve"> Both classes to complete weaving. Then we go on to look at architecture, drawing buildings from different perspectives.</w:t>
            </w:r>
          </w:p>
          <w:p w:rsidR="00000000" w:rsidDel="00000000" w:rsidP="00000000" w:rsidRDefault="00000000" w:rsidRPr="00000000" w14:paraId="00000040">
            <w:pPr>
              <w:widowControl w:val="0"/>
              <w:spacing w:line="240" w:lineRule="auto"/>
              <w:rPr>
                <w:rFonts w:ascii="Amaranth" w:cs="Amaranth" w:eastAsia="Amaranth" w:hAnsi="Amaranth"/>
                <w:highlight w:val="white"/>
              </w:rPr>
            </w:pPr>
            <w:r w:rsidDel="00000000" w:rsidR="00000000" w:rsidRPr="00000000">
              <w:rPr>
                <w:rtl w:val="0"/>
              </w:rPr>
            </w:r>
          </w:p>
          <w:p w:rsidR="00000000" w:rsidDel="00000000" w:rsidP="00000000" w:rsidRDefault="00000000" w:rsidRPr="00000000" w14:paraId="00000041">
            <w:pPr>
              <w:widowControl w:val="0"/>
              <w:spacing w:line="240" w:lineRule="auto"/>
              <w:rPr>
                <w:rFonts w:ascii="Amaranth" w:cs="Amaranth" w:eastAsia="Amaranth" w:hAnsi="Amaranth"/>
                <w:highlight w:val="white"/>
              </w:rPr>
            </w:pPr>
            <w:r w:rsidDel="00000000" w:rsidR="00000000" w:rsidRPr="00000000">
              <w:rPr>
                <w:rFonts w:ascii="Amaranth" w:cs="Amaranth" w:eastAsia="Amaranth" w:hAnsi="Amaranth"/>
                <w:highlight w:val="white"/>
                <w:rtl w:val="0"/>
              </w:rPr>
              <w:t xml:space="preserve">Music: In music we will be learning the recorders. </w:t>
            </w:r>
          </w:p>
        </w:tc>
        <w:tc>
          <w:tcPr>
            <w:tcMar>
              <w:top w:w="100.0" w:type="dxa"/>
              <w:left w:w="100.0" w:type="dxa"/>
              <w:bottom w:w="100.0" w:type="dxa"/>
              <w:right w:w="100.0" w:type="dxa"/>
            </w:tcMar>
            <w:vAlign w:val="top"/>
          </w:tcPr>
          <w:p w:rsidR="00000000" w:rsidDel="00000000" w:rsidP="00000000" w:rsidRDefault="00000000" w:rsidRPr="00000000" w14:paraId="00000042">
            <w:pPr>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sz w:val="20"/>
                <w:szCs w:val="20"/>
                <w:rtl w:val="0"/>
              </w:rPr>
              <w:t xml:space="preserve">Spanish:</w:t>
              <w:br w:type="textWrapping"/>
              <w:br w:type="textWrapping"/>
              <w:t xml:space="preserve">This term we will be learning about ancient Britain, including the Stone Age, the Bronze Age, and the Iron Age. We will explore how people lived during each period and how life changed over time. We will also learn how to say "man" and "woman" in each of these historical ages and how they were represented.</w:t>
            </w:r>
          </w:p>
        </w:tc>
      </w:tr>
      <w:tr>
        <w:trPr>
          <w:cantSplit w:val="0"/>
          <w:trHeight w:val="525" w:hRule="atLeast"/>
          <w:tblHeader w:val="0"/>
        </w:trPr>
        <w:tc>
          <w:tcPr>
            <w:gridSpan w:val="2"/>
            <w:shd w:fill="fff2cc" w:val="clear"/>
            <w:tcMar>
              <w:top w:w="100.0" w:type="dxa"/>
              <w:left w:w="100.0" w:type="dxa"/>
              <w:bottom w:w="100.0" w:type="dxa"/>
              <w:right w:w="100.0" w:type="dxa"/>
            </w:tcMar>
            <w:vAlign w:val="top"/>
          </w:tcPr>
          <w:p w:rsidR="00000000" w:rsidDel="00000000" w:rsidP="00000000" w:rsidRDefault="00000000" w:rsidRPr="00000000" w14:paraId="00000043">
            <w:pPr>
              <w:pageBreakBefore w:val="0"/>
              <w:widowControl w:val="0"/>
              <w:spacing w:line="240" w:lineRule="auto"/>
              <w:jc w:val="center"/>
              <w:rPr>
                <w:rFonts w:ascii="Amaranth" w:cs="Amaranth" w:eastAsia="Amaranth" w:hAnsi="Amaranth"/>
                <w:b w:val="1"/>
                <w:bCs w:val="1"/>
                <w:sz w:val="28"/>
                <w:szCs w:val="28"/>
              </w:rPr>
            </w:pPr>
            <w:r w:rsidDel="00000000" w:rsidR="00000000" w:rsidRPr="00000000">
              <w:rPr>
                <w:rFonts w:ascii="Amaranth" w:cs="Amaranth" w:eastAsia="Amaranth" w:hAnsi="Amaranth"/>
                <w:b w:val="1"/>
                <w:bCs w:val="1"/>
                <w:sz w:val="28"/>
                <w:szCs w:val="28"/>
                <w:rtl w:val="0"/>
              </w:rPr>
              <w:t xml:space="preserve">Science</w:t>
            </w:r>
          </w:p>
        </w:tc>
        <w:tc>
          <w:tcPr>
            <w:gridSpan w:val="2"/>
            <w:shd w:fill="fff2cc" w:val="clear"/>
            <w:tcMar>
              <w:top w:w="100.0" w:type="dxa"/>
              <w:left w:w="100.0" w:type="dxa"/>
              <w:bottom w:w="100.0" w:type="dxa"/>
              <w:right w:w="100.0" w:type="dxa"/>
            </w:tcMar>
            <w:vAlign w:val="top"/>
          </w:tcPr>
          <w:p w:rsidR="00000000" w:rsidDel="00000000" w:rsidP="00000000" w:rsidRDefault="00000000" w:rsidRPr="00000000" w14:paraId="00000045">
            <w:pPr>
              <w:pageBreakBefore w:val="0"/>
              <w:widowControl w:val="0"/>
              <w:spacing w:line="240" w:lineRule="auto"/>
              <w:jc w:val="center"/>
              <w:rPr>
                <w:rFonts w:ascii="Amaranth" w:cs="Amaranth" w:eastAsia="Amaranth" w:hAnsi="Amaranth"/>
                <w:b w:val="1"/>
                <w:bCs w:val="1"/>
                <w:sz w:val="28"/>
                <w:szCs w:val="28"/>
              </w:rPr>
            </w:pPr>
            <w:r w:rsidDel="00000000" w:rsidR="00000000" w:rsidRPr="00000000">
              <w:rPr>
                <w:rFonts w:ascii="Amaranth" w:cs="Amaranth" w:eastAsia="Amaranth" w:hAnsi="Amaranth"/>
                <w:b w:val="1"/>
                <w:bCs w:val="1"/>
                <w:sz w:val="28"/>
                <w:szCs w:val="28"/>
                <w:rtl w:val="0"/>
              </w:rPr>
              <w:t xml:space="preserve">PE</w:t>
            </w:r>
          </w:p>
        </w:tc>
        <w:tc>
          <w:tcPr>
            <w:gridSpan w:val="2"/>
            <w:shd w:fill="fff2cc" w:val="clear"/>
            <w:tcMar>
              <w:top w:w="100.0" w:type="dxa"/>
              <w:left w:w="100.0" w:type="dxa"/>
              <w:bottom w:w="100.0" w:type="dxa"/>
              <w:right w:w="100.0" w:type="dxa"/>
            </w:tcMar>
            <w:vAlign w:val="top"/>
          </w:tcPr>
          <w:p w:rsidR="00000000" w:rsidDel="00000000" w:rsidP="00000000" w:rsidRDefault="00000000" w:rsidRPr="00000000" w14:paraId="00000047">
            <w:pPr>
              <w:pageBreakBefore w:val="0"/>
              <w:widowControl w:val="0"/>
              <w:spacing w:line="240" w:lineRule="auto"/>
              <w:jc w:val="center"/>
              <w:rPr>
                <w:rFonts w:ascii="Amaranth" w:cs="Amaranth" w:eastAsia="Amaranth" w:hAnsi="Amaranth"/>
                <w:b w:val="1"/>
                <w:bCs w:val="1"/>
                <w:sz w:val="28"/>
                <w:szCs w:val="28"/>
              </w:rPr>
            </w:pPr>
            <w:r w:rsidDel="00000000" w:rsidR="00000000" w:rsidRPr="00000000">
              <w:rPr>
                <w:rFonts w:ascii="Amaranth" w:cs="Amaranth" w:eastAsia="Amaranth" w:hAnsi="Amaranth"/>
                <w:b w:val="1"/>
                <w:bCs w:val="1"/>
                <w:sz w:val="28"/>
                <w:szCs w:val="28"/>
                <w:rtl w:val="0"/>
              </w:rPr>
              <w:t xml:space="preserve">Curriculum Texts </w:t>
            </w:r>
          </w:p>
        </w:tc>
      </w:tr>
      <w:tr>
        <w:trPr>
          <w:cantSplit w:val="0"/>
          <w:trHeight w:val="480" w:hRule="atLeast"/>
          <w:tblHeader w:val="0"/>
        </w:trPr>
        <w:tc>
          <w:tcPr>
            <w:gridSpan w:val="2"/>
            <w:tcMar>
              <w:top w:w="100.0" w:type="dxa"/>
              <w:left w:w="100.0" w:type="dxa"/>
              <w:bottom w:w="100.0" w:type="dxa"/>
              <w:right w:w="100.0" w:type="dxa"/>
            </w:tcMar>
            <w:vAlign w:val="top"/>
          </w:tcPr>
          <w:p w:rsidR="00000000" w:rsidDel="00000000" w:rsidP="00000000" w:rsidRDefault="00000000" w:rsidRPr="00000000" w14:paraId="00000049">
            <w:pPr>
              <w:spacing w:line="240" w:lineRule="auto"/>
              <w:rPr>
                <w:rFonts w:ascii="Amaranth" w:cs="Amaranth" w:eastAsia="Amaranth" w:hAnsi="Amaranth"/>
                <w:color w:val="333333"/>
                <w:sz w:val="24"/>
                <w:szCs w:val="24"/>
              </w:rPr>
            </w:pPr>
            <w:r w:rsidDel="00000000" w:rsidR="00000000" w:rsidRPr="00000000">
              <w:rPr>
                <w:rFonts w:ascii="Amaranth" w:cs="Amaranth" w:eastAsia="Amaranth" w:hAnsi="Amaranth"/>
                <w:sz w:val="24"/>
                <w:szCs w:val="24"/>
                <w:rtl w:val="0"/>
              </w:rPr>
              <w:t xml:space="preserve">In Science we will be exploring forces and magnets. We will explain what friction is using words and diagrams and compare how stones move on different surfaces relating their investigations to History work on the ancient Egyptians and Bronze Age monument builders. We will also explore Sir Isaac Newton. </w:t>
            </w:r>
            <w:r w:rsidDel="00000000" w:rsidR="00000000" w:rsidRPr="00000000">
              <w:rPr>
                <w:rtl w:val="0"/>
              </w:rPr>
            </w:r>
          </w:p>
          <w:p w:rsidR="00000000" w:rsidDel="00000000" w:rsidP="00000000" w:rsidRDefault="00000000" w:rsidRPr="00000000" w14:paraId="0000004A">
            <w:pPr>
              <w:widowControl w:val="0"/>
              <w:spacing w:line="240" w:lineRule="auto"/>
              <w:rPr>
                <w:rFonts w:ascii="Amaranth" w:cs="Amaranth" w:eastAsia="Amaranth" w:hAnsi="Amaranth"/>
                <w:sz w:val="20"/>
                <w:szCs w:val="20"/>
              </w:rPr>
            </w:pPr>
            <w:r w:rsidDel="00000000" w:rsidR="00000000" w:rsidRPr="00000000">
              <w:rPr>
                <w:rtl w:val="0"/>
              </w:rPr>
            </w:r>
          </w:p>
        </w:tc>
        <w:tc>
          <w:tcPr>
            <w:gridSpan w:val="2"/>
            <w:tcMar>
              <w:top w:w="100.0" w:type="dxa"/>
              <w:left w:w="100.0" w:type="dxa"/>
              <w:bottom w:w="100.0" w:type="dxa"/>
              <w:right w:w="100.0" w:type="dxa"/>
            </w:tcMar>
            <w:vAlign w:val="top"/>
          </w:tcPr>
          <w:p w:rsidR="00000000" w:rsidDel="00000000" w:rsidP="00000000" w:rsidRDefault="00000000" w:rsidRPr="00000000" w14:paraId="0000004C">
            <w:pPr>
              <w:pageBreakBefore w:val="0"/>
              <w:widowControl w:val="0"/>
              <w:spacing w:line="240" w:lineRule="auto"/>
              <w:rPr>
                <w:rFonts w:ascii="Amaranth" w:cs="Amaranth" w:eastAsia="Amaranth" w:hAnsi="Amaranth"/>
              </w:rPr>
            </w:pPr>
            <w:r w:rsidDel="00000000" w:rsidR="00000000" w:rsidRPr="00000000">
              <w:rPr>
                <w:rFonts w:ascii="Amaranth" w:cs="Amaranth" w:eastAsia="Amaranth" w:hAnsi="Amaranth"/>
                <w:rtl w:val="0"/>
              </w:rPr>
              <w:t xml:space="preserve">Indoor: Children will be developing new skills when taking part in curling and archery</w:t>
            </w:r>
          </w:p>
          <w:p w:rsidR="00000000" w:rsidDel="00000000" w:rsidP="00000000" w:rsidRDefault="00000000" w:rsidRPr="00000000" w14:paraId="0000004D">
            <w:pPr>
              <w:pageBreakBefore w:val="0"/>
              <w:widowControl w:val="0"/>
              <w:spacing w:line="240" w:lineRule="auto"/>
              <w:rPr>
                <w:rFonts w:ascii="Amaranth" w:cs="Amaranth" w:eastAsia="Amaranth" w:hAnsi="Amaranth"/>
              </w:rPr>
            </w:pPr>
            <w:r w:rsidDel="00000000" w:rsidR="00000000" w:rsidRPr="00000000">
              <w:rPr>
                <w:rtl w:val="0"/>
              </w:rPr>
            </w:r>
          </w:p>
          <w:p w:rsidR="00000000" w:rsidDel="00000000" w:rsidP="00000000" w:rsidRDefault="00000000" w:rsidRPr="00000000" w14:paraId="0000004E">
            <w:pPr>
              <w:pageBreakBefore w:val="0"/>
              <w:widowControl w:val="0"/>
              <w:spacing w:line="240" w:lineRule="auto"/>
              <w:rPr>
                <w:rFonts w:ascii="Amaranth" w:cs="Amaranth" w:eastAsia="Amaranth" w:hAnsi="Amaranth"/>
              </w:rPr>
            </w:pPr>
            <w:r w:rsidDel="00000000" w:rsidR="00000000" w:rsidRPr="00000000">
              <w:rPr>
                <w:rFonts w:ascii="Amaranth" w:cs="Amaranth" w:eastAsia="Amaranth" w:hAnsi="Amaranth"/>
                <w:rtl w:val="0"/>
              </w:rPr>
              <w:t xml:space="preserve">Outdoor: Children will be getting ready for Sports Day</w:t>
            </w:r>
          </w:p>
        </w:tc>
        <w:tc>
          <w:tcPr>
            <w:gridSpan w:val="2"/>
            <w:tcMar>
              <w:top w:w="100.0" w:type="dxa"/>
              <w:left w:w="100.0" w:type="dxa"/>
              <w:bottom w:w="100.0" w:type="dxa"/>
              <w:right w:w="100.0" w:type="dxa"/>
            </w:tcMar>
            <w:vAlign w:val="top"/>
          </w:tcPr>
          <w:p w:rsidR="00000000" w:rsidDel="00000000" w:rsidP="00000000" w:rsidRDefault="00000000" w:rsidRPr="00000000" w14:paraId="00000050">
            <w:pPr>
              <w:widowControl w:val="0"/>
              <w:spacing w:line="240" w:lineRule="auto"/>
              <w:rPr>
                <w:rFonts w:ascii="Amaranth" w:cs="Amaranth" w:eastAsia="Amaranth" w:hAnsi="Amaranth"/>
                <w:sz w:val="20"/>
                <w:szCs w:val="20"/>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809625</wp:posOffset>
                  </wp:positionH>
                  <wp:positionV relativeFrom="paragraph">
                    <wp:posOffset>123825</wp:posOffset>
                  </wp:positionV>
                  <wp:extent cx="1133475" cy="1752600"/>
                  <wp:effectExtent b="0" l="0" r="0" t="0"/>
                  <wp:wrapSquare wrapText="bothSides" distB="114300" distT="114300" distL="114300" distR="11430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1133475" cy="1752600"/>
                          </a:xfrm>
                          <a:prstGeom prst="rect"/>
                          <a:ln/>
                        </pic:spPr>
                      </pic:pic>
                    </a:graphicData>
                  </a:graphic>
                </wp:anchor>
              </w:drawing>
            </w:r>
          </w:p>
          <w:p w:rsidR="00000000" w:rsidDel="00000000" w:rsidP="00000000" w:rsidRDefault="00000000" w:rsidRPr="00000000" w14:paraId="00000051">
            <w:pPr>
              <w:pageBreakBefore w:val="0"/>
              <w:widowControl w:val="0"/>
              <w:spacing w:line="240" w:lineRule="auto"/>
              <w:rPr>
                <w:rFonts w:ascii="Amaranth" w:cs="Amaranth" w:eastAsia="Amaranth" w:hAnsi="Amaranth"/>
                <w:sz w:val="20"/>
                <w:szCs w:val="20"/>
              </w:rPr>
            </w:pPr>
            <w:r w:rsidDel="00000000" w:rsidR="00000000" w:rsidRPr="00000000">
              <w:rPr>
                <w:rtl w:val="0"/>
              </w:rPr>
            </w:r>
          </w:p>
          <w:p w:rsidR="00000000" w:rsidDel="00000000" w:rsidP="00000000" w:rsidRDefault="00000000" w:rsidRPr="00000000" w14:paraId="00000052">
            <w:pPr>
              <w:pageBreakBefore w:val="0"/>
              <w:widowControl w:val="0"/>
              <w:spacing w:line="240" w:lineRule="auto"/>
              <w:rPr>
                <w:rFonts w:ascii="Amaranth" w:cs="Amaranth" w:eastAsia="Amaranth" w:hAnsi="Amaranth"/>
                <w:sz w:val="20"/>
                <w:szCs w:val="20"/>
              </w:rPr>
            </w:pPr>
            <w:r w:rsidDel="00000000" w:rsidR="00000000" w:rsidRPr="00000000">
              <w:rPr>
                <w:rtl w:val="0"/>
              </w:rPr>
            </w:r>
          </w:p>
          <w:p w:rsidR="00000000" w:rsidDel="00000000" w:rsidP="00000000" w:rsidRDefault="00000000" w:rsidRPr="00000000" w14:paraId="00000053">
            <w:pPr>
              <w:pageBreakBefore w:val="0"/>
              <w:widowControl w:val="0"/>
              <w:spacing w:line="240" w:lineRule="auto"/>
              <w:rPr>
                <w:rFonts w:ascii="Amaranth" w:cs="Amaranth" w:eastAsia="Amaranth" w:hAnsi="Amaranth"/>
                <w:sz w:val="20"/>
                <w:szCs w:val="20"/>
              </w:rPr>
            </w:pPr>
            <w:r w:rsidDel="00000000" w:rsidR="00000000" w:rsidRPr="00000000">
              <w:rPr>
                <w:rtl w:val="0"/>
              </w:rPr>
            </w:r>
          </w:p>
          <w:p w:rsidR="00000000" w:rsidDel="00000000" w:rsidP="00000000" w:rsidRDefault="00000000" w:rsidRPr="00000000" w14:paraId="00000054">
            <w:pPr>
              <w:pageBreakBefore w:val="0"/>
              <w:widowControl w:val="0"/>
              <w:spacing w:line="240" w:lineRule="auto"/>
              <w:rPr>
                <w:rFonts w:ascii="Amaranth" w:cs="Amaranth" w:eastAsia="Amaranth" w:hAnsi="Amaranth"/>
                <w:sz w:val="20"/>
                <w:szCs w:val="20"/>
              </w:rPr>
            </w:pPr>
            <w:r w:rsidDel="00000000" w:rsidR="00000000" w:rsidRPr="00000000">
              <w:rPr>
                <w:rtl w:val="0"/>
              </w:rPr>
            </w:r>
          </w:p>
          <w:p w:rsidR="00000000" w:rsidDel="00000000" w:rsidP="00000000" w:rsidRDefault="00000000" w:rsidRPr="00000000" w14:paraId="00000055">
            <w:pPr>
              <w:pageBreakBefore w:val="0"/>
              <w:widowControl w:val="0"/>
              <w:spacing w:line="240" w:lineRule="auto"/>
              <w:rPr>
                <w:rFonts w:ascii="Amaranth" w:cs="Amaranth" w:eastAsia="Amaranth" w:hAnsi="Amaranth"/>
                <w:sz w:val="20"/>
                <w:szCs w:val="20"/>
              </w:rPr>
            </w:pPr>
            <w:r w:rsidDel="00000000" w:rsidR="00000000" w:rsidRPr="00000000">
              <w:rPr>
                <w:rtl w:val="0"/>
              </w:rPr>
            </w:r>
          </w:p>
          <w:p w:rsidR="00000000" w:rsidDel="00000000" w:rsidP="00000000" w:rsidRDefault="00000000" w:rsidRPr="00000000" w14:paraId="00000056">
            <w:pPr>
              <w:pageBreakBefore w:val="0"/>
              <w:widowControl w:val="0"/>
              <w:spacing w:line="240" w:lineRule="auto"/>
              <w:rPr>
                <w:rFonts w:ascii="Amaranth" w:cs="Amaranth" w:eastAsia="Amaranth" w:hAnsi="Amaranth"/>
                <w:sz w:val="20"/>
                <w:szCs w:val="20"/>
              </w:rPr>
            </w:pPr>
            <w:r w:rsidDel="00000000" w:rsidR="00000000" w:rsidRPr="00000000">
              <w:rPr>
                <w:rtl w:val="0"/>
              </w:rPr>
            </w:r>
          </w:p>
        </w:tc>
      </w:tr>
      <w:tr>
        <w:trPr>
          <w:cantSplit w:val="0"/>
          <w:trHeight w:val="480" w:hRule="atLeast"/>
          <w:tblHeader w:val="0"/>
        </w:trPr>
        <w:tc>
          <w:tcPr>
            <w:gridSpan w:val="6"/>
            <w:shd w:fill="fff2cc" w:val="clear"/>
            <w:tcMar>
              <w:top w:w="100.0" w:type="dxa"/>
              <w:left w:w="100.0" w:type="dxa"/>
              <w:bottom w:w="100.0" w:type="dxa"/>
              <w:right w:w="100.0" w:type="dxa"/>
            </w:tcMar>
            <w:vAlign w:val="top"/>
          </w:tcPr>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maranth" w:cs="Amaranth" w:eastAsia="Amaranth" w:hAnsi="Amaranth"/>
                <w:sz w:val="28"/>
                <w:szCs w:val="28"/>
              </w:rPr>
            </w:pPr>
            <w:r w:rsidDel="00000000" w:rsidR="00000000" w:rsidRPr="00000000">
              <w:rPr>
                <w:rFonts w:ascii="Amaranth" w:cs="Amaranth" w:eastAsia="Amaranth" w:hAnsi="Amaranth"/>
                <w:b w:val="1"/>
                <w:bCs w:val="1"/>
                <w:sz w:val="28"/>
                <w:szCs w:val="28"/>
                <w:rtl w:val="0"/>
              </w:rPr>
              <w:t xml:space="preserve">General Information </w:t>
            </w:r>
            <w:r w:rsidDel="00000000" w:rsidR="00000000" w:rsidRPr="00000000">
              <w:rPr>
                <w:rtl w:val="0"/>
              </w:rPr>
            </w:r>
          </w:p>
        </w:tc>
      </w:tr>
      <w:tr>
        <w:trPr>
          <w:cantSplit w:val="0"/>
          <w:trHeight w:val="1680" w:hRule="atLeast"/>
          <w:tblHeader w:val="0"/>
        </w:trPr>
        <w:tc>
          <w:tcPr>
            <w:gridSpan w:val="6"/>
            <w:shd w:fill="ffffff" w:val="clear"/>
            <w:tcMar>
              <w:top w:w="100.0" w:type="dxa"/>
              <w:left w:w="100.0" w:type="dxa"/>
              <w:bottom w:w="100.0" w:type="dxa"/>
              <w:right w:w="100.0" w:type="dxa"/>
            </w:tcMar>
            <w:vAlign w:val="top"/>
          </w:tcPr>
          <w:p w:rsidR="00000000" w:rsidDel="00000000" w:rsidP="00000000" w:rsidRDefault="00000000" w:rsidRPr="00000000" w14:paraId="0000005E">
            <w:pPr>
              <w:pageBreakBefore w:val="0"/>
              <w:widowControl w:val="0"/>
              <w:spacing w:line="240" w:lineRule="auto"/>
              <w:rPr>
                <w:rFonts w:ascii="Amaranth" w:cs="Amaranth" w:eastAsia="Amaranth" w:hAnsi="Amaranth"/>
                <w:i w:val="1"/>
                <w:iCs w:val="1"/>
                <w:sz w:val="24"/>
                <w:szCs w:val="24"/>
              </w:rPr>
            </w:pPr>
            <w:r w:rsidDel="00000000" w:rsidR="00000000" w:rsidRPr="00000000">
              <w:rPr>
                <w:rFonts w:ascii="Amaranth" w:cs="Amaranth" w:eastAsia="Amaranth" w:hAnsi="Amaranth"/>
                <w:i w:val="1"/>
                <w:iCs w:val="1"/>
                <w:sz w:val="24"/>
                <w:szCs w:val="24"/>
                <w:rtl w:val="0"/>
              </w:rPr>
              <w:t xml:space="preserve">PE days: Wednesday and Thursday</w:t>
            </w:r>
            <w:r w:rsidDel="00000000" w:rsidR="00000000" w:rsidRPr="00000000">
              <w:rPr>
                <w:rtl w:val="0"/>
              </w:rPr>
            </w:r>
          </w:p>
          <w:p w:rsidR="00000000" w:rsidDel="00000000" w:rsidP="00000000" w:rsidRDefault="00000000" w:rsidRPr="00000000" w14:paraId="0000005F">
            <w:pPr>
              <w:pageBreakBefore w:val="0"/>
              <w:widowControl w:val="0"/>
              <w:spacing w:line="240" w:lineRule="auto"/>
              <w:rPr>
                <w:rFonts w:ascii="Amaranth" w:cs="Amaranth" w:eastAsia="Amaranth" w:hAnsi="Amaranth"/>
                <w:i w:val="1"/>
                <w:iCs w:val="1"/>
                <w:sz w:val="24"/>
                <w:szCs w:val="24"/>
              </w:rPr>
            </w:pPr>
            <w:r w:rsidDel="00000000" w:rsidR="00000000" w:rsidRPr="00000000">
              <w:rPr>
                <w:rtl w:val="0"/>
              </w:rPr>
            </w:r>
          </w:p>
          <w:p w:rsidR="00000000" w:rsidDel="00000000" w:rsidP="00000000" w:rsidRDefault="00000000" w:rsidRPr="00000000" w14:paraId="00000060">
            <w:pPr>
              <w:pageBreakBefore w:val="0"/>
              <w:widowControl w:val="0"/>
              <w:spacing w:line="240" w:lineRule="auto"/>
              <w:rPr>
                <w:rFonts w:ascii="Amaranth" w:cs="Amaranth" w:eastAsia="Amaranth" w:hAnsi="Amaranth"/>
                <w:i w:val="1"/>
                <w:iCs w:val="1"/>
                <w:sz w:val="24"/>
                <w:szCs w:val="24"/>
              </w:rPr>
            </w:pPr>
            <w:r w:rsidDel="00000000" w:rsidR="00000000" w:rsidRPr="00000000">
              <w:rPr>
                <w:rFonts w:ascii="Amaranth" w:cs="Amaranth" w:eastAsia="Amaranth" w:hAnsi="Amaranth"/>
                <w:i w:val="1"/>
                <w:iCs w:val="1"/>
                <w:sz w:val="24"/>
                <w:szCs w:val="24"/>
                <w:rtl w:val="0"/>
              </w:rPr>
              <w:t xml:space="preserve">Homework - Set Thursdays and to be handed in on Tuesdays</w:t>
            </w:r>
          </w:p>
          <w:p w:rsidR="00000000" w:rsidDel="00000000" w:rsidP="00000000" w:rsidRDefault="00000000" w:rsidRPr="00000000" w14:paraId="00000061">
            <w:pPr>
              <w:pageBreakBefore w:val="0"/>
              <w:widowControl w:val="0"/>
              <w:spacing w:line="240" w:lineRule="auto"/>
              <w:rPr>
                <w:rFonts w:ascii="Amaranth" w:cs="Amaranth" w:eastAsia="Amaranth" w:hAnsi="Amaranth"/>
                <w:i w:val="1"/>
                <w:iCs w:val="1"/>
                <w:sz w:val="24"/>
                <w:szCs w:val="24"/>
              </w:rPr>
            </w:pPr>
            <w:r w:rsidDel="00000000" w:rsidR="00000000" w:rsidRPr="00000000">
              <w:rPr>
                <w:rtl w:val="0"/>
              </w:rPr>
            </w:r>
          </w:p>
        </w:tc>
      </w:tr>
    </w:tbl>
    <w:p w:rsidR="00000000" w:rsidDel="00000000" w:rsidP="00000000" w:rsidRDefault="00000000" w:rsidRPr="00000000" w14:paraId="00000067">
      <w:pPr>
        <w:pageBreakBefore w:val="0"/>
        <w:rPr>
          <w:rFonts w:ascii="Amaranth" w:cs="Amaranth" w:eastAsia="Amaranth" w:hAnsi="Amaranth"/>
          <w:sz w:val="28"/>
          <w:szCs w:val="28"/>
        </w:rPr>
      </w:pPr>
      <w:r w:rsidDel="00000000" w:rsidR="00000000" w:rsidRPr="00000000">
        <w:rPr>
          <w:rtl w:val="0"/>
        </w:rPr>
      </w:r>
    </w:p>
    <w:sectPr>
      <w:pgSz w:h="23811" w:w="16838" w:orient="portrait"/>
      <w:pgMar w:bottom="1440" w:top="907.2"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maranth">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Amaranth-regular.ttf"/><Relationship Id="rId2" Type="http://schemas.openxmlformats.org/officeDocument/2006/relationships/font" Target="fonts/Amaranth-bold.ttf"/><Relationship Id="rId3" Type="http://schemas.openxmlformats.org/officeDocument/2006/relationships/font" Target="fonts/Amaranth-italic.ttf"/><Relationship Id="rId4" Type="http://schemas.openxmlformats.org/officeDocument/2006/relationships/font" Target="fonts/Amaranth-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